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60" w:rsidRDefault="005B6FD3" w:rsidP="005B6F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235C60">
        <w:rPr>
          <w:rFonts w:ascii="Arial" w:hAnsi="Arial" w:cs="Arial"/>
          <w:b/>
          <w:color w:val="000000"/>
        </w:rPr>
        <w:t xml:space="preserve">INSTRUCTIVO PARA LA SOLICITUD DE </w:t>
      </w:r>
    </w:p>
    <w:p w:rsidR="005B6FD3" w:rsidRPr="00235C60" w:rsidRDefault="005B6FD3" w:rsidP="005B6F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35C60">
        <w:rPr>
          <w:rFonts w:ascii="Arial" w:hAnsi="Arial" w:cs="Arial"/>
          <w:b/>
          <w:color w:val="000000"/>
        </w:rPr>
        <w:t xml:space="preserve">VALORACION PARCIAL DE DOCUMENTOS </w:t>
      </w:r>
    </w:p>
    <w:p w:rsidR="005B6FD3" w:rsidRPr="00235C60" w:rsidRDefault="005B6FD3" w:rsidP="005B6FD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A5DD9" w:rsidRPr="00235C60" w:rsidRDefault="008A5DD9" w:rsidP="005B6FD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773DD" w:rsidRPr="00235C60" w:rsidRDefault="00F773DD" w:rsidP="00F773DD">
      <w:pPr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Cada unidad productora, cuando requiera la valoración de </w:t>
      </w:r>
      <w:r w:rsidR="005F2595" w:rsidRPr="00235C60">
        <w:rPr>
          <w:rFonts w:ascii="Arial" w:hAnsi="Arial" w:cs="Arial"/>
        </w:rPr>
        <w:t xml:space="preserve">una </w:t>
      </w:r>
      <w:r w:rsidRPr="00235C60">
        <w:rPr>
          <w:rFonts w:ascii="Arial" w:hAnsi="Arial" w:cs="Arial"/>
        </w:rPr>
        <w:t xml:space="preserve">parte de sus documentos, dirigirá la solicitud </w:t>
      </w:r>
      <w:r w:rsidR="005F2595" w:rsidRPr="00235C60">
        <w:rPr>
          <w:rFonts w:ascii="Arial" w:hAnsi="Arial" w:cs="Arial"/>
        </w:rPr>
        <w:t xml:space="preserve">correspondiente </w:t>
      </w:r>
      <w:r w:rsidRPr="00235C60">
        <w:rPr>
          <w:rFonts w:ascii="Arial" w:hAnsi="Arial" w:cs="Arial"/>
        </w:rPr>
        <w:t>al Comité Institucional de Selección y Eliminación Documental del Tribunal Supremo de Elecciones, en adelante el Comité.</w:t>
      </w:r>
    </w:p>
    <w:p w:rsidR="00F773DD" w:rsidRPr="00235C60" w:rsidRDefault="00F773DD" w:rsidP="00F773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73DD" w:rsidRPr="00235C60" w:rsidRDefault="00F773DD" w:rsidP="00F773DD">
      <w:pPr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La solicitud debe ser avalada por el Comité, previo a enviarla a la Comisión Nacional de Selección y Eliminación </w:t>
      </w:r>
      <w:r w:rsidR="00E312EA">
        <w:rPr>
          <w:rFonts w:ascii="Arial" w:hAnsi="Arial" w:cs="Arial"/>
        </w:rPr>
        <w:t xml:space="preserve">de </w:t>
      </w:r>
      <w:r w:rsidRPr="00235C60">
        <w:rPr>
          <w:rFonts w:ascii="Arial" w:hAnsi="Arial" w:cs="Arial"/>
        </w:rPr>
        <w:t>Document</w:t>
      </w:r>
      <w:r w:rsidR="00E312EA">
        <w:rPr>
          <w:rFonts w:ascii="Arial" w:hAnsi="Arial" w:cs="Arial"/>
        </w:rPr>
        <w:t>os</w:t>
      </w:r>
      <w:r w:rsidRPr="00235C60">
        <w:rPr>
          <w:rFonts w:ascii="Arial" w:hAnsi="Arial" w:cs="Arial"/>
        </w:rPr>
        <w:t xml:space="preserve"> para su análisis y aprobación final.</w:t>
      </w:r>
    </w:p>
    <w:p w:rsidR="00F773DD" w:rsidRPr="00235C60" w:rsidRDefault="00F773DD" w:rsidP="00F773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73DD" w:rsidRPr="00235C60" w:rsidRDefault="00F773DD" w:rsidP="00F773DD">
      <w:pPr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>La solicitud debe contener los siguientes datos:</w:t>
      </w:r>
    </w:p>
    <w:p w:rsidR="005B6FD3" w:rsidRPr="00235C60" w:rsidRDefault="005B6FD3" w:rsidP="005B6FD3">
      <w:pPr>
        <w:autoSpaceDE w:val="0"/>
        <w:autoSpaceDN w:val="0"/>
        <w:adjustRightInd w:val="0"/>
        <w:rPr>
          <w:rFonts w:ascii="Arial" w:hAnsi="Arial" w:cs="Arial"/>
        </w:rPr>
      </w:pPr>
    </w:p>
    <w:p w:rsidR="005B6FD3" w:rsidRPr="00235C60" w:rsidRDefault="008A5DD9" w:rsidP="008A5DD9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3.1 </w:t>
      </w:r>
      <w:r w:rsidR="005F2595" w:rsidRPr="00235C60">
        <w:rPr>
          <w:rFonts w:ascii="Arial" w:hAnsi="Arial" w:cs="Arial"/>
          <w:b/>
        </w:rPr>
        <w:t>Tipo documental:</w:t>
      </w:r>
      <w:r w:rsidR="005F2595" w:rsidRPr="00235C60">
        <w:rPr>
          <w:rFonts w:ascii="Arial" w:hAnsi="Arial" w:cs="Arial"/>
        </w:rPr>
        <w:t xml:space="preserve"> En esta columna debe anotarse la lista de todos los </w:t>
      </w:r>
      <w:r w:rsidR="00235C60">
        <w:rPr>
          <w:rFonts w:ascii="Arial" w:hAnsi="Arial" w:cs="Arial"/>
        </w:rPr>
        <w:t xml:space="preserve">     </w:t>
      </w:r>
      <w:r w:rsidR="005F2595" w:rsidRPr="00235C60">
        <w:rPr>
          <w:rFonts w:ascii="Arial" w:hAnsi="Arial" w:cs="Arial"/>
        </w:rPr>
        <w:t>tipos documentales que produce o recibe la oficina.</w:t>
      </w:r>
    </w:p>
    <w:p w:rsidR="005F2595" w:rsidRPr="00235C60" w:rsidRDefault="005F2595" w:rsidP="005B6FD3">
      <w:pPr>
        <w:autoSpaceDE w:val="0"/>
        <w:autoSpaceDN w:val="0"/>
        <w:adjustRightInd w:val="0"/>
        <w:rPr>
          <w:rFonts w:ascii="Arial" w:hAnsi="Arial" w:cs="Arial"/>
        </w:rPr>
      </w:pPr>
    </w:p>
    <w:p w:rsidR="005B6FD3" w:rsidRPr="00235C60" w:rsidRDefault="005B6FD3" w:rsidP="008A5DD9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235C60">
        <w:rPr>
          <w:rFonts w:ascii="Arial" w:hAnsi="Arial" w:cs="Arial"/>
          <w:b/>
        </w:rPr>
        <w:t>Tipo documental</w:t>
      </w:r>
      <w:r w:rsidRPr="00235C60">
        <w:rPr>
          <w:rFonts w:ascii="Arial" w:hAnsi="Arial" w:cs="Arial"/>
        </w:rPr>
        <w:t xml:space="preserve"> es la forma en que se encuentra expuesta la información en el soporte, y responde a funciones, actividades e incluso a la legislación de una institución</w:t>
      </w:r>
      <w:r w:rsidR="00416AC4">
        <w:rPr>
          <w:rFonts w:ascii="Arial" w:hAnsi="Arial" w:cs="Arial"/>
        </w:rPr>
        <w:t xml:space="preserve"> o</w:t>
      </w:r>
      <w:r w:rsidRPr="00235C60">
        <w:rPr>
          <w:rFonts w:ascii="Arial" w:hAnsi="Arial" w:cs="Arial"/>
        </w:rPr>
        <w:t xml:space="preserve"> de un país</w:t>
      </w:r>
      <w:r w:rsidR="005F2595" w:rsidRPr="00235C60">
        <w:rPr>
          <w:rFonts w:ascii="Arial" w:hAnsi="Arial" w:cs="Arial"/>
        </w:rPr>
        <w:t>;</w:t>
      </w:r>
      <w:r w:rsidRPr="00235C60">
        <w:rPr>
          <w:rFonts w:ascii="Arial" w:hAnsi="Arial" w:cs="Arial"/>
        </w:rPr>
        <w:t xml:space="preserve"> es decir, el tipo documental es el nombre con que se conocen los documentos, sea porque el  documento </w:t>
      </w:r>
      <w:r w:rsidR="005F2595" w:rsidRPr="00235C60">
        <w:rPr>
          <w:rFonts w:ascii="Arial" w:hAnsi="Arial" w:cs="Arial"/>
        </w:rPr>
        <w:t>está titulado</w:t>
      </w:r>
      <w:r w:rsidRPr="00235C60">
        <w:rPr>
          <w:rFonts w:ascii="Arial" w:hAnsi="Arial" w:cs="Arial"/>
        </w:rPr>
        <w:t xml:space="preserve">, o </w:t>
      </w:r>
      <w:r w:rsidR="005F2595" w:rsidRPr="00235C60">
        <w:rPr>
          <w:rFonts w:ascii="Arial" w:hAnsi="Arial" w:cs="Arial"/>
        </w:rPr>
        <w:t xml:space="preserve">porque por </w:t>
      </w:r>
      <w:r w:rsidRPr="00235C60">
        <w:rPr>
          <w:rFonts w:ascii="Arial" w:hAnsi="Arial" w:cs="Arial"/>
        </w:rPr>
        <w:t>costumbre</w:t>
      </w:r>
      <w:r w:rsidR="005F2595" w:rsidRPr="00235C60">
        <w:rPr>
          <w:rFonts w:ascii="Arial" w:hAnsi="Arial" w:cs="Arial"/>
        </w:rPr>
        <w:t xml:space="preserve"> se</w:t>
      </w:r>
      <w:r w:rsidRPr="00235C60">
        <w:rPr>
          <w:rFonts w:ascii="Arial" w:hAnsi="Arial" w:cs="Arial"/>
        </w:rPr>
        <w:t xml:space="preserve"> ha nombra</w:t>
      </w:r>
      <w:r w:rsidR="005F2595" w:rsidRPr="00235C60">
        <w:rPr>
          <w:rFonts w:ascii="Arial" w:hAnsi="Arial" w:cs="Arial"/>
        </w:rPr>
        <w:t>do</w:t>
      </w:r>
      <w:r w:rsidRPr="00235C60">
        <w:rPr>
          <w:rFonts w:ascii="Arial" w:hAnsi="Arial" w:cs="Arial"/>
        </w:rPr>
        <w:t xml:space="preserve"> así. </w:t>
      </w:r>
    </w:p>
    <w:p w:rsidR="005F2595" w:rsidRPr="00235C60" w:rsidRDefault="005F2595" w:rsidP="005B6F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6FD3" w:rsidRPr="00235C60" w:rsidRDefault="005B6FD3" w:rsidP="008A5DD9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Ejemplos: </w:t>
      </w:r>
    </w:p>
    <w:p w:rsidR="005F2595" w:rsidRPr="00235C60" w:rsidRDefault="005F2595" w:rsidP="008A5DD9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5F2595" w:rsidRPr="00235C60" w:rsidRDefault="005F2595" w:rsidP="008A5DD9">
      <w:pPr>
        <w:autoSpaceDE w:val="0"/>
        <w:autoSpaceDN w:val="0"/>
        <w:adjustRightInd w:val="0"/>
        <w:ind w:left="540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Actas </w:t>
      </w:r>
      <w:r w:rsidRP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ab/>
      </w:r>
      <w:r w:rsid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 xml:space="preserve">Acuerdos </w:t>
      </w:r>
      <w:r w:rsidRP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ab/>
        <w:t xml:space="preserve">Memorandos </w:t>
      </w:r>
    </w:p>
    <w:p w:rsidR="005F2595" w:rsidRPr="00235C60" w:rsidRDefault="005F2595" w:rsidP="008A5DD9">
      <w:pPr>
        <w:autoSpaceDE w:val="0"/>
        <w:autoSpaceDN w:val="0"/>
        <w:adjustRightInd w:val="0"/>
        <w:ind w:left="540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Informes </w:t>
      </w:r>
      <w:r w:rsidRP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ab/>
      </w:r>
      <w:r w:rsid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 xml:space="preserve">Requisiciones </w:t>
      </w:r>
      <w:r w:rsidRP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ab/>
        <w:t xml:space="preserve">Oficios </w:t>
      </w:r>
    </w:p>
    <w:p w:rsidR="005F2595" w:rsidRPr="00235C60" w:rsidRDefault="005F2595" w:rsidP="008A5DD9">
      <w:pPr>
        <w:autoSpaceDE w:val="0"/>
        <w:autoSpaceDN w:val="0"/>
        <w:adjustRightInd w:val="0"/>
        <w:ind w:left="540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Convenios </w:t>
      </w:r>
      <w:r w:rsidRP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ab/>
      </w:r>
      <w:r w:rsid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 xml:space="preserve">Planillas </w:t>
      </w:r>
      <w:r w:rsidRP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ab/>
        <w:t xml:space="preserve">Expedientes </w:t>
      </w:r>
    </w:p>
    <w:p w:rsidR="005F2595" w:rsidRPr="00235C60" w:rsidRDefault="005F2595" w:rsidP="008A5DD9">
      <w:pPr>
        <w:autoSpaceDE w:val="0"/>
        <w:autoSpaceDN w:val="0"/>
        <w:adjustRightInd w:val="0"/>
        <w:ind w:left="540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Cheques </w:t>
      </w:r>
      <w:r w:rsidRP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ab/>
      </w:r>
      <w:r w:rsid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 xml:space="preserve">Licitaciones </w:t>
      </w:r>
      <w:r w:rsidRP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ab/>
        <w:t xml:space="preserve">Facturas </w:t>
      </w:r>
    </w:p>
    <w:p w:rsidR="005F2595" w:rsidRPr="00235C60" w:rsidRDefault="005F2595" w:rsidP="008A5DD9">
      <w:pPr>
        <w:autoSpaceDE w:val="0"/>
        <w:autoSpaceDN w:val="0"/>
        <w:adjustRightInd w:val="0"/>
        <w:ind w:left="540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Manuales </w:t>
      </w:r>
      <w:r w:rsidRP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ab/>
      </w:r>
      <w:r w:rsid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 xml:space="preserve">Decretos </w:t>
      </w:r>
      <w:r w:rsidRP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ab/>
      </w:r>
      <w:r w:rsidRPr="00235C60">
        <w:rPr>
          <w:rFonts w:ascii="Arial" w:hAnsi="Arial" w:cs="Arial"/>
        </w:rPr>
        <w:tab/>
        <w:t xml:space="preserve">Estudios </w:t>
      </w:r>
    </w:p>
    <w:p w:rsidR="00235C60" w:rsidRDefault="005F2595" w:rsidP="008A5DD9">
      <w:pPr>
        <w:autoSpaceDE w:val="0"/>
        <w:autoSpaceDN w:val="0"/>
        <w:adjustRightInd w:val="0"/>
        <w:ind w:left="540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Balances contables </w:t>
      </w:r>
      <w:r w:rsidRPr="00235C60">
        <w:rPr>
          <w:rFonts w:ascii="Arial" w:hAnsi="Arial" w:cs="Arial"/>
        </w:rPr>
        <w:tab/>
      </w:r>
      <w:r w:rsidR="00235C60">
        <w:rPr>
          <w:rFonts w:ascii="Arial" w:hAnsi="Arial" w:cs="Arial"/>
        </w:rPr>
        <w:tab/>
        <w:t>Circulares</w:t>
      </w:r>
      <w:r w:rsidRPr="00235C60">
        <w:rPr>
          <w:rFonts w:ascii="Arial" w:hAnsi="Arial" w:cs="Arial"/>
        </w:rPr>
        <w:tab/>
      </w:r>
      <w:r w:rsidR="00235C60">
        <w:rPr>
          <w:rFonts w:ascii="Arial" w:hAnsi="Arial" w:cs="Arial"/>
        </w:rPr>
        <w:tab/>
      </w:r>
      <w:r w:rsidR="00235C60">
        <w:rPr>
          <w:rFonts w:ascii="Arial" w:hAnsi="Arial" w:cs="Arial"/>
        </w:rPr>
        <w:tab/>
        <w:t>Tratados</w:t>
      </w:r>
    </w:p>
    <w:p w:rsidR="00235C60" w:rsidRDefault="005F2595" w:rsidP="008A5DD9">
      <w:pPr>
        <w:autoSpaceDE w:val="0"/>
        <w:autoSpaceDN w:val="0"/>
        <w:adjustRightInd w:val="0"/>
        <w:ind w:left="540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Cuadros estadísticos </w:t>
      </w:r>
      <w:r w:rsidR="00235C60">
        <w:rPr>
          <w:rFonts w:ascii="Arial" w:hAnsi="Arial" w:cs="Arial"/>
        </w:rPr>
        <w:tab/>
        <w:t>Leyes</w:t>
      </w:r>
      <w:r w:rsidRPr="00235C60">
        <w:rPr>
          <w:rFonts w:ascii="Arial" w:hAnsi="Arial" w:cs="Arial"/>
        </w:rPr>
        <w:tab/>
      </w:r>
      <w:r w:rsidR="00235C60">
        <w:rPr>
          <w:rFonts w:ascii="Arial" w:hAnsi="Arial" w:cs="Arial"/>
        </w:rPr>
        <w:tab/>
      </w:r>
      <w:r w:rsidR="00235C60">
        <w:rPr>
          <w:rFonts w:ascii="Arial" w:hAnsi="Arial" w:cs="Arial"/>
        </w:rPr>
        <w:tab/>
      </w:r>
    </w:p>
    <w:p w:rsidR="005F2595" w:rsidRDefault="005F2595" w:rsidP="008A5DD9">
      <w:pPr>
        <w:autoSpaceDE w:val="0"/>
        <w:autoSpaceDN w:val="0"/>
        <w:adjustRightInd w:val="0"/>
        <w:ind w:left="540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Planes de trabajo </w:t>
      </w:r>
      <w:r w:rsidR="00235C60">
        <w:rPr>
          <w:rFonts w:ascii="Arial" w:hAnsi="Arial" w:cs="Arial"/>
        </w:rPr>
        <w:tab/>
      </w:r>
      <w:r w:rsidR="00235C60">
        <w:rPr>
          <w:rFonts w:ascii="Arial" w:hAnsi="Arial" w:cs="Arial"/>
        </w:rPr>
        <w:tab/>
        <w:t>Contratos</w:t>
      </w:r>
    </w:p>
    <w:p w:rsidR="00235C60" w:rsidRPr="00235C60" w:rsidRDefault="00235C60" w:rsidP="008A5DD9">
      <w:pPr>
        <w:autoSpaceDE w:val="0"/>
        <w:autoSpaceDN w:val="0"/>
        <w:adjustRightInd w:val="0"/>
        <w:ind w:left="540"/>
        <w:rPr>
          <w:rFonts w:ascii="Arial" w:hAnsi="Arial" w:cs="Arial"/>
        </w:rPr>
      </w:pPr>
      <w:r>
        <w:rPr>
          <w:rFonts w:ascii="Arial" w:hAnsi="Arial" w:cs="Arial"/>
        </w:rPr>
        <w:t>Órdenes de compra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Proyectos</w:t>
      </w:r>
    </w:p>
    <w:p w:rsidR="005B6FD3" w:rsidRPr="00235C60" w:rsidRDefault="005B6FD3" w:rsidP="00235C60">
      <w:pPr>
        <w:autoSpaceDE w:val="0"/>
        <w:autoSpaceDN w:val="0"/>
        <w:adjustRightInd w:val="0"/>
        <w:ind w:left="2664" w:firstLine="168"/>
        <w:rPr>
          <w:rFonts w:ascii="Arial" w:hAnsi="Arial" w:cs="Arial"/>
        </w:rPr>
      </w:pPr>
    </w:p>
    <w:p w:rsidR="005B6FD3" w:rsidRPr="00235C60" w:rsidRDefault="00E312EA" w:rsidP="008A5DD9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Debe anotarse</w:t>
      </w:r>
      <w:r w:rsidR="005B6FD3" w:rsidRPr="00235C60">
        <w:rPr>
          <w:rFonts w:ascii="Arial" w:hAnsi="Arial" w:cs="Arial"/>
        </w:rPr>
        <w:t xml:space="preserve"> el tipo documental una sola vez, sin importar si hay un ejemplar o miles de ellos. </w:t>
      </w:r>
    </w:p>
    <w:p w:rsidR="00F773DD" w:rsidRPr="00235C60" w:rsidRDefault="00F773DD" w:rsidP="008A5DD9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5B6FD3" w:rsidRPr="00F65A8F" w:rsidRDefault="005B6FD3" w:rsidP="008A5DD9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F65A8F">
        <w:rPr>
          <w:rFonts w:ascii="Arial" w:hAnsi="Arial" w:cs="Arial"/>
        </w:rPr>
        <w:t>Se recomiend</w:t>
      </w:r>
      <w:r w:rsidR="00F773DD" w:rsidRPr="00F65A8F">
        <w:rPr>
          <w:rFonts w:ascii="Arial" w:hAnsi="Arial" w:cs="Arial"/>
        </w:rPr>
        <w:t>a que la correspondencia (oficios enviados y recibido</w:t>
      </w:r>
      <w:r w:rsidRPr="00F65A8F">
        <w:rPr>
          <w:rFonts w:ascii="Arial" w:hAnsi="Arial" w:cs="Arial"/>
        </w:rPr>
        <w:t xml:space="preserve">s), se anote </w:t>
      </w:r>
      <w:r w:rsidR="00B50B0D" w:rsidRPr="00F65A8F">
        <w:rPr>
          <w:rFonts w:ascii="Arial" w:hAnsi="Arial" w:cs="Arial"/>
        </w:rPr>
        <w:t>al inicio de</w:t>
      </w:r>
      <w:r w:rsidRPr="00F65A8F">
        <w:rPr>
          <w:rFonts w:ascii="Arial" w:hAnsi="Arial" w:cs="Arial"/>
        </w:rPr>
        <w:t xml:space="preserve"> la lista, ya que todas las </w:t>
      </w:r>
      <w:r w:rsidR="007C261A" w:rsidRPr="00F65A8F">
        <w:rPr>
          <w:rFonts w:ascii="Arial" w:hAnsi="Arial" w:cs="Arial"/>
        </w:rPr>
        <w:t>unidades productoras</w:t>
      </w:r>
      <w:r w:rsidRPr="00F65A8F">
        <w:rPr>
          <w:rFonts w:ascii="Arial" w:hAnsi="Arial" w:cs="Arial"/>
        </w:rPr>
        <w:t xml:space="preserve"> </w:t>
      </w:r>
      <w:r w:rsidR="00D82653" w:rsidRPr="00F65A8F">
        <w:rPr>
          <w:rFonts w:ascii="Arial" w:hAnsi="Arial" w:cs="Arial"/>
        </w:rPr>
        <w:t>generan</w:t>
      </w:r>
      <w:r w:rsidRPr="00F65A8F">
        <w:rPr>
          <w:rFonts w:ascii="Arial" w:hAnsi="Arial" w:cs="Arial"/>
        </w:rPr>
        <w:t xml:space="preserve"> este tipo documental. </w:t>
      </w:r>
      <w:r w:rsidR="00D82653" w:rsidRPr="00F65A8F">
        <w:rPr>
          <w:rFonts w:ascii="Arial" w:hAnsi="Arial" w:cs="Arial"/>
        </w:rPr>
        <w:t>En caso de que estas unidades lo ameriten, la correspondencia puede dividirse en los apartes que sean necesarios, para efecto de fijar plazos diferentes a cada grupo:</w:t>
      </w:r>
    </w:p>
    <w:p w:rsidR="005F2595" w:rsidRPr="00235C60" w:rsidRDefault="005F2595" w:rsidP="008A5DD9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5F2595" w:rsidRPr="00235C60" w:rsidRDefault="005F2595" w:rsidP="008A5DD9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Oficios enviados </w:t>
      </w:r>
      <w:r w:rsidRPr="00235C60">
        <w:rPr>
          <w:rFonts w:ascii="Arial" w:hAnsi="Arial" w:cs="Arial"/>
        </w:rPr>
        <w:tab/>
        <w:t xml:space="preserve">Oficios recibidos </w:t>
      </w:r>
    </w:p>
    <w:p w:rsidR="005F2595" w:rsidRPr="00235C60" w:rsidRDefault="005F2595" w:rsidP="008A5DD9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lastRenderedPageBreak/>
        <w:t xml:space="preserve">Oficios internos </w:t>
      </w:r>
      <w:r w:rsidRPr="00235C60">
        <w:rPr>
          <w:rFonts w:ascii="Arial" w:hAnsi="Arial" w:cs="Arial"/>
        </w:rPr>
        <w:tab/>
        <w:t xml:space="preserve">Oficios externos </w:t>
      </w:r>
    </w:p>
    <w:p w:rsidR="00235C60" w:rsidRDefault="005F2595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Oficios decisorios </w:t>
      </w:r>
      <w:r w:rsidRPr="00235C60">
        <w:rPr>
          <w:rFonts w:ascii="Arial" w:hAnsi="Arial" w:cs="Arial"/>
        </w:rPr>
        <w:tab/>
        <w:t>Oficios informativos</w:t>
      </w:r>
    </w:p>
    <w:p w:rsidR="00B50B0D" w:rsidRDefault="00B50B0D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5B6FD3" w:rsidRDefault="005B6FD3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También se deben incluir los mapas, planos, fotografías, etc., estén estos plasmados en papel o en otros soportes como el microfilm, cintas magnéticas, discos compactos, etc. </w:t>
      </w:r>
    </w:p>
    <w:p w:rsidR="00235C60" w:rsidRPr="00235C60" w:rsidRDefault="00235C60" w:rsidP="008A5DD9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5B6FD3" w:rsidRDefault="00235C60" w:rsidP="00E312EA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3.2. </w:t>
      </w:r>
      <w:r w:rsidRPr="00235C60">
        <w:rPr>
          <w:rFonts w:ascii="Arial" w:hAnsi="Arial" w:cs="Arial"/>
          <w:b/>
        </w:rPr>
        <w:t xml:space="preserve">Contenido: </w:t>
      </w:r>
      <w:r w:rsidR="005F2595" w:rsidRPr="00235C60">
        <w:rPr>
          <w:rFonts w:ascii="Arial" w:hAnsi="Arial" w:cs="Arial"/>
        </w:rPr>
        <w:t>Se resume el con</w:t>
      </w:r>
      <w:r w:rsidR="00E312EA">
        <w:rPr>
          <w:rFonts w:ascii="Arial" w:hAnsi="Arial" w:cs="Arial"/>
        </w:rPr>
        <w:t xml:space="preserve">tenido de cada tipo documental, </w:t>
      </w:r>
      <w:r w:rsidR="005F2595" w:rsidRPr="00235C60">
        <w:rPr>
          <w:rFonts w:ascii="Arial" w:hAnsi="Arial" w:cs="Arial"/>
        </w:rPr>
        <w:t>destacando los principales asuntos de cada uno.</w:t>
      </w:r>
      <w:r w:rsidR="00E312EA">
        <w:rPr>
          <w:rFonts w:ascii="Arial" w:hAnsi="Arial" w:cs="Arial"/>
        </w:rPr>
        <w:t xml:space="preserve"> </w:t>
      </w:r>
    </w:p>
    <w:p w:rsidR="00E312EA" w:rsidRPr="00235C60" w:rsidRDefault="00E312EA" w:rsidP="00E312E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</w:rPr>
        <w:sectPr w:rsidR="00E312EA" w:rsidRPr="00235C60" w:rsidSect="008423B9">
          <w:headerReference w:type="default" r:id="rId8"/>
          <w:footerReference w:type="default" r:id="rId9"/>
          <w:pgSz w:w="12240" w:h="15840"/>
          <w:pgMar w:top="1523" w:right="1701" w:bottom="1417" w:left="1701" w:header="720" w:footer="720" w:gutter="0"/>
          <w:cols w:space="720"/>
          <w:noEndnote/>
        </w:sectPr>
      </w:pPr>
    </w:p>
    <w:p w:rsidR="005B6FD3" w:rsidRPr="00235C60" w:rsidRDefault="005B6FD3" w:rsidP="005B6FD3">
      <w:pPr>
        <w:autoSpaceDE w:val="0"/>
        <w:autoSpaceDN w:val="0"/>
        <w:adjustRightInd w:val="0"/>
        <w:rPr>
          <w:rFonts w:ascii="Arial" w:hAnsi="Arial" w:cs="Arial"/>
        </w:rPr>
      </w:pPr>
    </w:p>
    <w:p w:rsidR="005B6FD3" w:rsidRPr="00235C60" w:rsidRDefault="005B6FD3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En el caso de la correspondencia, proyectos, expedientes o tipos documentales cuya información es muy diversa, lo que se hace es anotar el objetivo, la función o las actividades básicas de la oficina. </w:t>
      </w:r>
    </w:p>
    <w:p w:rsidR="005F2595" w:rsidRPr="00235C60" w:rsidRDefault="005F2595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5B6FD3" w:rsidRPr="00235C60" w:rsidRDefault="005F2595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3.3 </w:t>
      </w:r>
      <w:r w:rsidRPr="00235C60">
        <w:rPr>
          <w:rFonts w:ascii="Arial" w:hAnsi="Arial" w:cs="Arial"/>
          <w:b/>
        </w:rPr>
        <w:t>Fechas extremas:</w:t>
      </w:r>
      <w:r w:rsidRPr="00235C60">
        <w:rPr>
          <w:rFonts w:ascii="Arial" w:hAnsi="Arial" w:cs="Arial"/>
        </w:rPr>
        <w:t xml:space="preserve"> Se refiere a la fecha más antigua y a la más reciente del tipo documental.</w:t>
      </w:r>
    </w:p>
    <w:p w:rsidR="008A5DD9" w:rsidRPr="00235C60" w:rsidRDefault="008A5DD9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E312EA" w:rsidRPr="00B64868" w:rsidRDefault="008A5DD9" w:rsidP="00E312E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pacing w:val="-3"/>
          <w:lang w:val="es-ES_tradnl"/>
        </w:rPr>
      </w:pPr>
      <w:r w:rsidRPr="00235C60">
        <w:rPr>
          <w:rFonts w:ascii="Arial" w:hAnsi="Arial" w:cs="Arial"/>
        </w:rPr>
        <w:t xml:space="preserve">3.4 </w:t>
      </w:r>
      <w:r w:rsidRPr="00235C60">
        <w:rPr>
          <w:rFonts w:ascii="Arial" w:hAnsi="Arial" w:cs="Arial"/>
          <w:b/>
        </w:rPr>
        <w:t>Cantidad:</w:t>
      </w:r>
      <w:r w:rsidRPr="00235C60">
        <w:rPr>
          <w:rFonts w:ascii="Arial" w:hAnsi="Arial" w:cs="Arial"/>
        </w:rPr>
        <w:t xml:space="preserve"> </w:t>
      </w:r>
      <w:r w:rsidR="00E312EA" w:rsidRPr="00B64868">
        <w:rPr>
          <w:rFonts w:ascii="Arial" w:hAnsi="Arial" w:cs="Arial"/>
          <w:spacing w:val="-3"/>
          <w:lang w:val="es-ES_tradnl"/>
        </w:rPr>
        <w:t xml:space="preserve">La cantidad correspondiente a cada tipo documental se anota en metros lineales.  La medida en metros lineales se </w:t>
      </w:r>
      <w:r w:rsidR="00E312EA">
        <w:rPr>
          <w:rFonts w:ascii="Arial" w:hAnsi="Arial" w:cs="Arial"/>
          <w:spacing w:val="-3"/>
          <w:lang w:val="es-ES_tradnl"/>
        </w:rPr>
        <w:t>realiza</w:t>
      </w:r>
      <w:r w:rsidR="00E312EA" w:rsidRPr="00B64868">
        <w:rPr>
          <w:rFonts w:ascii="Arial" w:hAnsi="Arial" w:cs="Arial"/>
          <w:spacing w:val="-3"/>
          <w:lang w:val="es-ES_tradnl"/>
        </w:rPr>
        <w:t xml:space="preserve"> tomando en cuenta el espacio que los documentos ocupan en gavetas de archivadores, estanterías, </w:t>
      </w:r>
      <w:r w:rsidR="00E312EA" w:rsidRPr="009440DC">
        <w:rPr>
          <w:rFonts w:ascii="Arial" w:hAnsi="Arial" w:cs="Arial"/>
          <w:spacing w:val="-3"/>
          <w:lang w:val="es-ES_tradnl"/>
        </w:rPr>
        <w:t>“ampos” o en los</w:t>
      </w:r>
      <w:r w:rsidR="00E312EA" w:rsidRPr="00B64868">
        <w:rPr>
          <w:rFonts w:ascii="Arial" w:hAnsi="Arial" w:cs="Arial"/>
          <w:spacing w:val="-3"/>
          <w:lang w:val="es-ES_tradnl"/>
        </w:rPr>
        <w:t xml:space="preserve"> contenedores en que se encuentren.</w:t>
      </w:r>
      <w:r w:rsidR="00E312EA">
        <w:rPr>
          <w:rFonts w:ascii="Arial" w:hAnsi="Arial" w:cs="Arial"/>
          <w:spacing w:val="-3"/>
          <w:lang w:val="es-ES_tradnl"/>
        </w:rPr>
        <w:t xml:space="preserve"> Para realizar el cálculo de la cantidad de metros lineales, puede consultarse al Archivo Central.</w:t>
      </w:r>
    </w:p>
    <w:p w:rsidR="005B6FD3" w:rsidRPr="00235C60" w:rsidRDefault="005B6FD3" w:rsidP="00E312EA">
      <w:pPr>
        <w:autoSpaceDE w:val="0"/>
        <w:autoSpaceDN w:val="0"/>
        <w:adjustRightInd w:val="0"/>
        <w:rPr>
          <w:rFonts w:ascii="Arial" w:hAnsi="Arial" w:cs="Arial"/>
        </w:rPr>
      </w:pPr>
    </w:p>
    <w:p w:rsidR="00A8096A" w:rsidRPr="00235C60" w:rsidRDefault="008A5DD9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3.5 </w:t>
      </w:r>
      <w:r w:rsidRPr="00235C60">
        <w:rPr>
          <w:rFonts w:ascii="Arial" w:hAnsi="Arial" w:cs="Arial"/>
          <w:b/>
        </w:rPr>
        <w:t>Vigencia Administrativa y Legal:</w:t>
      </w:r>
      <w:r w:rsidRPr="00235C60">
        <w:rPr>
          <w:rFonts w:ascii="Arial" w:hAnsi="Arial" w:cs="Arial"/>
        </w:rPr>
        <w:t xml:space="preserve"> Se refiere al plazo de conservación que se asigna</w:t>
      </w:r>
      <w:r w:rsidR="00E312EA">
        <w:rPr>
          <w:rFonts w:ascii="Arial" w:hAnsi="Arial" w:cs="Arial"/>
        </w:rPr>
        <w:t xml:space="preserve"> a</w:t>
      </w:r>
      <w:r w:rsidRPr="00235C60">
        <w:rPr>
          <w:rFonts w:ascii="Arial" w:hAnsi="Arial" w:cs="Arial"/>
        </w:rPr>
        <w:t xml:space="preserve"> cada tipo documental para que sirva en la toma de decisiones, trámites corrientes o para la defensa de derechos.</w:t>
      </w:r>
    </w:p>
    <w:p w:rsidR="008A5DD9" w:rsidRPr="00235C60" w:rsidRDefault="008A5DD9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5B6FD3" w:rsidRPr="00235C60" w:rsidRDefault="00A8096A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De conformidad con el </w:t>
      </w:r>
      <w:r w:rsidR="00B54B31" w:rsidRPr="00235C60">
        <w:rPr>
          <w:rFonts w:ascii="Arial" w:hAnsi="Arial" w:cs="Arial"/>
        </w:rPr>
        <w:t>artículo 33 de la Ley 7202 del S</w:t>
      </w:r>
      <w:r w:rsidRPr="00235C60">
        <w:rPr>
          <w:rFonts w:ascii="Arial" w:hAnsi="Arial" w:cs="Arial"/>
        </w:rPr>
        <w:t xml:space="preserve">istema </w:t>
      </w:r>
      <w:r w:rsidR="00B54B31" w:rsidRPr="00235C60">
        <w:rPr>
          <w:rFonts w:ascii="Arial" w:hAnsi="Arial" w:cs="Arial"/>
        </w:rPr>
        <w:t>N</w:t>
      </w:r>
      <w:r w:rsidRPr="00235C60">
        <w:rPr>
          <w:rFonts w:ascii="Arial" w:hAnsi="Arial" w:cs="Arial"/>
        </w:rPr>
        <w:t>acional</w:t>
      </w:r>
      <w:r w:rsidR="00B54B31" w:rsidRPr="00235C60">
        <w:rPr>
          <w:rFonts w:ascii="Arial" w:hAnsi="Arial" w:cs="Arial"/>
        </w:rPr>
        <w:t xml:space="preserve"> de A</w:t>
      </w:r>
      <w:r w:rsidRPr="00235C60">
        <w:rPr>
          <w:rFonts w:ascii="Arial" w:hAnsi="Arial" w:cs="Arial"/>
        </w:rPr>
        <w:t xml:space="preserve">rchivos, la vigencia administrativa y legal de los documentos debe ser </w:t>
      </w:r>
      <w:r w:rsidR="00F65A8F">
        <w:rPr>
          <w:rFonts w:ascii="Arial" w:hAnsi="Arial" w:cs="Arial"/>
        </w:rPr>
        <w:t>evaluada y determinada por el Comité, previamente recomendada por la unidad productora.</w:t>
      </w:r>
    </w:p>
    <w:p w:rsidR="00235C60" w:rsidRPr="00235C60" w:rsidRDefault="00235C60" w:rsidP="00235C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6FD3" w:rsidRPr="00235C60" w:rsidRDefault="005B6FD3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Detalles de forma que deben tomarse en cuenta: </w:t>
      </w:r>
    </w:p>
    <w:p w:rsidR="008A5DD9" w:rsidRPr="00235C60" w:rsidRDefault="008A5DD9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8A5DD9" w:rsidRPr="00235C60" w:rsidRDefault="00235C60" w:rsidP="009440DC">
      <w:pPr>
        <w:autoSpaceDE w:val="0"/>
        <w:autoSpaceDN w:val="0"/>
        <w:adjustRightInd w:val="0"/>
        <w:ind w:left="900" w:hanging="36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1. </w:t>
      </w:r>
      <w:r w:rsidR="008A5DD9" w:rsidRPr="00235C60">
        <w:rPr>
          <w:rFonts w:ascii="Arial" w:hAnsi="Arial" w:cs="Arial"/>
        </w:rPr>
        <w:t>En el encabezado de la fórmula debe indicarse la oficina a la que corresponde la valoración según su ubicación en la estructura orgánica. Ejemplo: si es una sección, indicar a qué Departamento o Dirección pertenece.</w:t>
      </w:r>
    </w:p>
    <w:p w:rsidR="008A5DD9" w:rsidRPr="00235C60" w:rsidRDefault="008A5DD9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8A5DD9" w:rsidRPr="00235C60" w:rsidRDefault="00235C60" w:rsidP="009440DC">
      <w:pPr>
        <w:autoSpaceDE w:val="0"/>
        <w:autoSpaceDN w:val="0"/>
        <w:adjustRightInd w:val="0"/>
        <w:ind w:left="900" w:hanging="36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2. </w:t>
      </w:r>
      <w:r w:rsidR="009440DC">
        <w:rPr>
          <w:rFonts w:ascii="Arial" w:hAnsi="Arial" w:cs="Arial"/>
        </w:rPr>
        <w:t xml:space="preserve"> </w:t>
      </w:r>
      <w:r w:rsidR="008A5DD9" w:rsidRPr="00235C60">
        <w:rPr>
          <w:rFonts w:ascii="Arial" w:hAnsi="Arial" w:cs="Arial"/>
        </w:rPr>
        <w:t xml:space="preserve">Indicar el nombre de la persona que elaboró la lista, y la fecha en que lo </w:t>
      </w:r>
      <w:r w:rsidR="009440DC">
        <w:rPr>
          <w:rFonts w:ascii="Arial" w:hAnsi="Arial" w:cs="Arial"/>
        </w:rPr>
        <w:t xml:space="preserve">    </w:t>
      </w:r>
      <w:r w:rsidR="008A5DD9" w:rsidRPr="00235C60">
        <w:rPr>
          <w:rFonts w:ascii="Arial" w:hAnsi="Arial" w:cs="Arial"/>
        </w:rPr>
        <w:t xml:space="preserve">hizo. </w:t>
      </w:r>
    </w:p>
    <w:p w:rsidR="008A5DD9" w:rsidRPr="00235C60" w:rsidRDefault="008A5DD9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8A5DD9" w:rsidRPr="00235C60" w:rsidRDefault="00235C60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3. </w:t>
      </w:r>
      <w:r w:rsidR="009440DC">
        <w:rPr>
          <w:rFonts w:ascii="Arial" w:hAnsi="Arial" w:cs="Arial"/>
        </w:rPr>
        <w:t xml:space="preserve"> </w:t>
      </w:r>
      <w:r w:rsidR="008A5DD9" w:rsidRPr="00235C60">
        <w:rPr>
          <w:rFonts w:ascii="Arial" w:hAnsi="Arial" w:cs="Arial"/>
        </w:rPr>
        <w:t>Indicar la misión de la unidad productora.</w:t>
      </w:r>
    </w:p>
    <w:p w:rsidR="008A5DD9" w:rsidRPr="00235C60" w:rsidRDefault="008A5DD9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 </w:t>
      </w:r>
    </w:p>
    <w:p w:rsidR="008A5DD9" w:rsidRPr="00235C60" w:rsidRDefault="00235C60" w:rsidP="009440DC">
      <w:pPr>
        <w:autoSpaceDE w:val="0"/>
        <w:autoSpaceDN w:val="0"/>
        <w:adjustRightInd w:val="0"/>
        <w:ind w:left="900" w:hanging="36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4. </w:t>
      </w:r>
      <w:r w:rsidR="009440DC">
        <w:rPr>
          <w:rFonts w:ascii="Arial" w:hAnsi="Arial" w:cs="Arial"/>
        </w:rPr>
        <w:t xml:space="preserve"> </w:t>
      </w:r>
      <w:r w:rsidR="008A5DD9" w:rsidRPr="00235C60">
        <w:rPr>
          <w:rFonts w:ascii="Arial" w:hAnsi="Arial" w:cs="Arial"/>
        </w:rPr>
        <w:t xml:space="preserve">La Jefatura de la unidad productora debe firmar la solicitud y estampar el sello correspondiente. </w:t>
      </w:r>
    </w:p>
    <w:p w:rsidR="008A5DD9" w:rsidRPr="00235C60" w:rsidRDefault="008A5DD9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8A5DD9" w:rsidRPr="00235C60" w:rsidRDefault="00235C60" w:rsidP="009440DC">
      <w:pPr>
        <w:autoSpaceDE w:val="0"/>
        <w:autoSpaceDN w:val="0"/>
        <w:adjustRightInd w:val="0"/>
        <w:ind w:left="900" w:hanging="36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5. </w:t>
      </w:r>
      <w:r w:rsidR="008A5DD9" w:rsidRPr="00235C60">
        <w:rPr>
          <w:rFonts w:ascii="Arial" w:hAnsi="Arial" w:cs="Arial"/>
        </w:rPr>
        <w:t>El Comité evalúa la solicitud y determina en forma definitiva el valor administrativo-legal de los tipos documentales.</w:t>
      </w:r>
    </w:p>
    <w:p w:rsidR="008A5DD9" w:rsidRPr="00235C60" w:rsidRDefault="008A5DD9" w:rsidP="00235C60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5B6FD3" w:rsidRPr="00235C60" w:rsidRDefault="00235C60" w:rsidP="009440DC">
      <w:pPr>
        <w:autoSpaceDE w:val="0"/>
        <w:autoSpaceDN w:val="0"/>
        <w:adjustRightInd w:val="0"/>
        <w:ind w:left="900" w:hanging="360"/>
        <w:jc w:val="both"/>
        <w:rPr>
          <w:rFonts w:ascii="Arial" w:hAnsi="Arial" w:cs="Arial"/>
        </w:rPr>
      </w:pPr>
      <w:r w:rsidRPr="00235C60">
        <w:rPr>
          <w:rFonts w:ascii="Arial" w:hAnsi="Arial" w:cs="Arial"/>
        </w:rPr>
        <w:t xml:space="preserve">6. </w:t>
      </w:r>
      <w:r w:rsidR="009440DC">
        <w:rPr>
          <w:rFonts w:ascii="Arial" w:hAnsi="Arial" w:cs="Arial"/>
        </w:rPr>
        <w:t xml:space="preserve"> </w:t>
      </w:r>
      <w:r w:rsidR="008A5DD9" w:rsidRPr="00235C60">
        <w:rPr>
          <w:rFonts w:ascii="Arial" w:hAnsi="Arial" w:cs="Arial"/>
        </w:rPr>
        <w:t>El Comité remite original y copia de la solicitud a la Comisión, con las observaciones pertinentes, y ésta, mediante un informe, determina los documentos de conservación permanente.</w:t>
      </w:r>
    </w:p>
    <w:p w:rsidR="005B6FD3" w:rsidRPr="005B6FD3" w:rsidRDefault="005B6FD3" w:rsidP="005B6FD3">
      <w:pPr>
        <w:autoSpaceDE w:val="0"/>
        <w:autoSpaceDN w:val="0"/>
        <w:adjustRightInd w:val="0"/>
        <w:rPr>
          <w:rFonts w:ascii="OGMKIJ+TimesNewRoman,Bold" w:hAnsi="OGMKIJ+TimesNewRoman,Bold"/>
        </w:rPr>
        <w:sectPr w:rsidR="005B6FD3" w:rsidRPr="005B6FD3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5B6FD3" w:rsidRPr="005B6FD3" w:rsidRDefault="005B6FD3" w:rsidP="005B6FD3">
      <w:pPr>
        <w:autoSpaceDE w:val="0"/>
        <w:autoSpaceDN w:val="0"/>
        <w:adjustRightInd w:val="0"/>
        <w:rPr>
          <w:rFonts w:ascii="OGMKIJ+TimesNewRoman,Bold" w:hAnsi="OGMKIJ+TimesNewRoman,Bold"/>
        </w:rPr>
      </w:pPr>
    </w:p>
    <w:sectPr w:rsidR="005B6FD3" w:rsidRPr="005B6FD3" w:rsidSect="005B6FD3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AF" w:rsidRDefault="00623AAF" w:rsidP="008423B9">
      <w:r>
        <w:separator/>
      </w:r>
    </w:p>
  </w:endnote>
  <w:endnote w:type="continuationSeparator" w:id="0">
    <w:p w:rsidR="00623AAF" w:rsidRDefault="00623AAF" w:rsidP="0084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GMKI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99869029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5C7FEF" w:rsidRPr="005C7FEF" w:rsidRDefault="005C7FEF">
            <w:pPr>
              <w:pStyle w:val="Piedepgina"/>
              <w:jc w:val="right"/>
              <w:rPr>
                <w:rFonts w:ascii="Arial" w:hAnsi="Arial" w:cs="Arial"/>
              </w:rPr>
            </w:pPr>
            <w:r w:rsidRPr="005C7FEF">
              <w:rPr>
                <w:rFonts w:ascii="Arial" w:hAnsi="Arial" w:cs="Arial"/>
              </w:rPr>
              <w:t xml:space="preserve">Página </w:t>
            </w:r>
            <w:r w:rsidRPr="005C7FEF">
              <w:rPr>
                <w:rFonts w:ascii="Arial" w:hAnsi="Arial" w:cs="Arial"/>
                <w:b/>
                <w:bCs/>
              </w:rPr>
              <w:fldChar w:fldCharType="begin"/>
            </w:r>
            <w:r w:rsidRPr="005C7FEF">
              <w:rPr>
                <w:rFonts w:ascii="Arial" w:hAnsi="Arial" w:cs="Arial"/>
                <w:b/>
                <w:bCs/>
              </w:rPr>
              <w:instrText>PAGE</w:instrText>
            </w:r>
            <w:r w:rsidRPr="005C7FEF">
              <w:rPr>
                <w:rFonts w:ascii="Arial" w:hAnsi="Arial" w:cs="Arial"/>
                <w:b/>
                <w:bCs/>
              </w:rPr>
              <w:fldChar w:fldCharType="separate"/>
            </w:r>
            <w:r w:rsidR="00114346">
              <w:rPr>
                <w:rFonts w:ascii="Arial" w:hAnsi="Arial" w:cs="Arial"/>
                <w:b/>
                <w:bCs/>
                <w:noProof/>
              </w:rPr>
              <w:t>1</w:t>
            </w:r>
            <w:r w:rsidRPr="005C7FEF">
              <w:rPr>
                <w:rFonts w:ascii="Arial" w:hAnsi="Arial" w:cs="Arial"/>
                <w:b/>
                <w:bCs/>
              </w:rPr>
              <w:fldChar w:fldCharType="end"/>
            </w:r>
            <w:r w:rsidRPr="005C7FEF">
              <w:rPr>
                <w:rFonts w:ascii="Arial" w:hAnsi="Arial" w:cs="Arial"/>
              </w:rPr>
              <w:t xml:space="preserve"> de </w:t>
            </w:r>
            <w:r w:rsidRPr="005C7FEF">
              <w:rPr>
                <w:rFonts w:ascii="Arial" w:hAnsi="Arial" w:cs="Arial"/>
                <w:b/>
                <w:bCs/>
              </w:rPr>
              <w:fldChar w:fldCharType="begin"/>
            </w:r>
            <w:r w:rsidRPr="005C7FEF">
              <w:rPr>
                <w:rFonts w:ascii="Arial" w:hAnsi="Arial" w:cs="Arial"/>
                <w:b/>
                <w:bCs/>
              </w:rPr>
              <w:instrText>NUMPAGES</w:instrText>
            </w:r>
            <w:r w:rsidRPr="005C7FEF">
              <w:rPr>
                <w:rFonts w:ascii="Arial" w:hAnsi="Arial" w:cs="Arial"/>
                <w:b/>
                <w:bCs/>
              </w:rPr>
              <w:fldChar w:fldCharType="separate"/>
            </w:r>
            <w:r w:rsidR="00114346">
              <w:rPr>
                <w:rFonts w:ascii="Arial" w:hAnsi="Arial" w:cs="Arial"/>
                <w:b/>
                <w:bCs/>
                <w:noProof/>
              </w:rPr>
              <w:t>3</w:t>
            </w:r>
            <w:r w:rsidRPr="005C7FE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5C7FEF" w:rsidRDefault="005C7F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AF" w:rsidRDefault="00623AAF" w:rsidP="008423B9">
      <w:r>
        <w:separator/>
      </w:r>
    </w:p>
  </w:footnote>
  <w:footnote w:type="continuationSeparator" w:id="0">
    <w:p w:rsidR="00623AAF" w:rsidRDefault="00623AAF" w:rsidP="00842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B9" w:rsidRPr="00114346" w:rsidRDefault="00E821C6" w:rsidP="008423B9">
    <w:pPr>
      <w:pStyle w:val="Encabezado"/>
      <w:jc w:val="center"/>
      <w:rPr>
        <w:rFonts w:ascii="Arial" w:hAnsi="Arial" w:cs="Arial"/>
        <w:b/>
        <w:color w:val="FFFFFF" w:themeColor="background1"/>
        <w:sz w:val="28"/>
        <w:szCs w:val="28"/>
        <w:lang w:val="es-MX"/>
      </w:rPr>
    </w:pPr>
    <w:r w:rsidRPr="00114346">
      <w:rPr>
        <w:noProof/>
        <w:color w:val="FFFFFF" w:themeColor="background1"/>
        <w:lang w:val="es-CR" w:eastAsia="es-CR"/>
      </w:rPr>
      <w:drawing>
        <wp:anchor distT="0" distB="0" distL="114300" distR="114300" simplePos="0" relativeHeight="251657728" behindDoc="0" locked="0" layoutInCell="1" allowOverlap="1" wp14:anchorId="3DD84BFE" wp14:editId="2DE8369A">
          <wp:simplePos x="0" y="0"/>
          <wp:positionH relativeFrom="column">
            <wp:posOffset>-603885</wp:posOffset>
          </wp:positionH>
          <wp:positionV relativeFrom="paragraph">
            <wp:posOffset>-367030</wp:posOffset>
          </wp:positionV>
          <wp:extent cx="1457325" cy="876300"/>
          <wp:effectExtent l="0" t="0" r="9525" b="0"/>
          <wp:wrapSquare wrapText="bothSides"/>
          <wp:docPr id="1" name="Imagen 1" descr="TSE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E logo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3B9" w:rsidRPr="00114346">
      <w:rPr>
        <w:rFonts w:ascii="Arial" w:hAnsi="Arial" w:cs="Arial"/>
        <w:b/>
        <w:color w:val="FFFFFF" w:themeColor="background1"/>
        <w:sz w:val="28"/>
        <w:szCs w:val="28"/>
        <w:lang w:val="es-MX"/>
      </w:rPr>
      <w:t xml:space="preserve">Anexo No. </w:t>
    </w:r>
    <w:r w:rsidR="005C7FEF" w:rsidRPr="00114346">
      <w:rPr>
        <w:rFonts w:ascii="Arial" w:hAnsi="Arial" w:cs="Arial"/>
        <w:b/>
        <w:color w:val="FFFFFF" w:themeColor="background1"/>
        <w:sz w:val="28"/>
        <w:szCs w:val="28"/>
        <w:lang w:val="es-MX"/>
      </w:rPr>
      <w:t>2</w:t>
    </w:r>
  </w:p>
  <w:p w:rsidR="008423B9" w:rsidRPr="005C7FEF" w:rsidRDefault="00E821C6" w:rsidP="008423B9">
    <w:pPr>
      <w:pStyle w:val="Encabezado"/>
      <w:jc w:val="right"/>
      <w:rPr>
        <w:rFonts w:ascii="Arial" w:hAnsi="Arial" w:cs="Arial"/>
        <w:b/>
        <w:color w:val="FFFFFF" w:themeColor="background1"/>
        <w:sz w:val="20"/>
        <w:szCs w:val="20"/>
        <w:lang w:val="es-MX"/>
      </w:rPr>
    </w:pPr>
    <w:r w:rsidRPr="005C7FEF">
      <w:rPr>
        <w:rFonts w:ascii="Arial" w:hAnsi="Arial" w:cs="Arial"/>
        <w:b/>
        <w:color w:val="FFFFFF" w:themeColor="background1"/>
        <w:sz w:val="20"/>
        <w:szCs w:val="20"/>
        <w:lang w:val="es-MX"/>
      </w:rPr>
      <w:t>F01-</w:t>
    </w:r>
    <w:r w:rsidR="00BB1F07" w:rsidRPr="005C7FEF">
      <w:rPr>
        <w:rFonts w:ascii="Arial" w:hAnsi="Arial" w:cs="Arial"/>
        <w:b/>
        <w:color w:val="FFFFFF" w:themeColor="background1"/>
        <w:sz w:val="20"/>
        <w:szCs w:val="20"/>
        <w:lang w:val="es-MX"/>
      </w:rPr>
      <w:t>v01-</w:t>
    </w:r>
    <w:r w:rsidR="008423B9" w:rsidRPr="005C7FEF">
      <w:rPr>
        <w:rFonts w:ascii="Arial" w:hAnsi="Arial" w:cs="Arial"/>
        <w:b/>
        <w:color w:val="FFFFFF" w:themeColor="background1"/>
        <w:sz w:val="20"/>
        <w:szCs w:val="20"/>
        <w:lang w:val="es-MX"/>
      </w:rPr>
      <w:t>AC-</w:t>
    </w:r>
    <w:r w:rsidR="00BB1F07" w:rsidRPr="005C7FEF">
      <w:rPr>
        <w:rFonts w:ascii="Arial" w:hAnsi="Arial" w:cs="Arial"/>
        <w:b/>
        <w:color w:val="FFFFFF" w:themeColor="background1"/>
        <w:sz w:val="20"/>
        <w:szCs w:val="20"/>
        <w:lang w:val="es-MX"/>
      </w:rPr>
      <w:t>P</w:t>
    </w:r>
    <w:r w:rsidRPr="005C7FEF">
      <w:rPr>
        <w:rFonts w:ascii="Arial" w:hAnsi="Arial" w:cs="Arial"/>
        <w:b/>
        <w:color w:val="FFFFFF" w:themeColor="background1"/>
        <w:sz w:val="20"/>
        <w:szCs w:val="20"/>
        <w:lang w:val="es-MX"/>
      </w:rPr>
      <w:t>011</w:t>
    </w:r>
    <w:r w:rsidR="00BB1F07" w:rsidRPr="005C7FEF">
      <w:rPr>
        <w:rFonts w:ascii="Arial" w:hAnsi="Arial" w:cs="Arial"/>
        <w:b/>
        <w:color w:val="FFFFFF" w:themeColor="background1"/>
        <w:sz w:val="20"/>
        <w:szCs w:val="20"/>
        <w:lang w:val="es-MX"/>
      </w:rPr>
      <w:t>-v</w:t>
    </w:r>
    <w:r w:rsidR="008423B9" w:rsidRPr="005C7FEF">
      <w:rPr>
        <w:rFonts w:ascii="Arial" w:hAnsi="Arial" w:cs="Arial"/>
        <w:b/>
        <w:color w:val="FFFFFF" w:themeColor="background1"/>
        <w:sz w:val="20"/>
        <w:szCs w:val="20"/>
        <w:lang w:val="es-MX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9B"/>
    <w:multiLevelType w:val="hybridMultilevel"/>
    <w:tmpl w:val="89AC2F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44BB"/>
    <w:multiLevelType w:val="hybridMultilevel"/>
    <w:tmpl w:val="89AC2F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4B26"/>
    <w:multiLevelType w:val="hybridMultilevel"/>
    <w:tmpl w:val="8DD480AA"/>
    <w:lvl w:ilvl="0" w:tplc="C0BA37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1350"/>
    <w:multiLevelType w:val="hybridMultilevel"/>
    <w:tmpl w:val="B93E04DA"/>
    <w:lvl w:ilvl="0" w:tplc="97368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6C6CD8C">
      <w:numFmt w:val="none"/>
      <w:lvlText w:val=""/>
      <w:lvlJc w:val="left"/>
      <w:pPr>
        <w:tabs>
          <w:tab w:val="num" w:pos="360"/>
        </w:tabs>
      </w:pPr>
    </w:lvl>
    <w:lvl w:ilvl="2" w:tplc="1C7AD494">
      <w:numFmt w:val="none"/>
      <w:lvlText w:val=""/>
      <w:lvlJc w:val="left"/>
      <w:pPr>
        <w:tabs>
          <w:tab w:val="num" w:pos="360"/>
        </w:tabs>
      </w:pPr>
    </w:lvl>
    <w:lvl w:ilvl="3" w:tplc="E674765E">
      <w:numFmt w:val="none"/>
      <w:lvlText w:val=""/>
      <w:lvlJc w:val="left"/>
      <w:pPr>
        <w:tabs>
          <w:tab w:val="num" w:pos="360"/>
        </w:tabs>
      </w:pPr>
    </w:lvl>
    <w:lvl w:ilvl="4" w:tplc="6E02B4BC">
      <w:numFmt w:val="none"/>
      <w:lvlText w:val=""/>
      <w:lvlJc w:val="left"/>
      <w:pPr>
        <w:tabs>
          <w:tab w:val="num" w:pos="360"/>
        </w:tabs>
      </w:pPr>
    </w:lvl>
    <w:lvl w:ilvl="5" w:tplc="FCB2C1F2">
      <w:numFmt w:val="none"/>
      <w:lvlText w:val=""/>
      <w:lvlJc w:val="left"/>
      <w:pPr>
        <w:tabs>
          <w:tab w:val="num" w:pos="360"/>
        </w:tabs>
      </w:pPr>
    </w:lvl>
    <w:lvl w:ilvl="6" w:tplc="D63E8328">
      <w:numFmt w:val="none"/>
      <w:lvlText w:val=""/>
      <w:lvlJc w:val="left"/>
      <w:pPr>
        <w:tabs>
          <w:tab w:val="num" w:pos="360"/>
        </w:tabs>
      </w:pPr>
    </w:lvl>
    <w:lvl w:ilvl="7" w:tplc="1F567CEA">
      <w:numFmt w:val="none"/>
      <w:lvlText w:val=""/>
      <w:lvlJc w:val="left"/>
      <w:pPr>
        <w:tabs>
          <w:tab w:val="num" w:pos="360"/>
        </w:tabs>
      </w:pPr>
    </w:lvl>
    <w:lvl w:ilvl="8" w:tplc="7E8E70A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4F4BC8"/>
    <w:multiLevelType w:val="multilevel"/>
    <w:tmpl w:val="61521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5">
    <w:nsid w:val="54E87D33"/>
    <w:multiLevelType w:val="hybridMultilevel"/>
    <w:tmpl w:val="A9521B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33C80"/>
    <w:multiLevelType w:val="multilevel"/>
    <w:tmpl w:val="61521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7">
    <w:nsid w:val="7561572F"/>
    <w:multiLevelType w:val="hybridMultilevel"/>
    <w:tmpl w:val="89AC2F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4264A"/>
    <w:multiLevelType w:val="hybridMultilevel"/>
    <w:tmpl w:val="CCE02630"/>
    <w:lvl w:ilvl="0" w:tplc="CEB2253C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82"/>
    <w:rsid w:val="000B7A6D"/>
    <w:rsid w:val="00114346"/>
    <w:rsid w:val="00120FC9"/>
    <w:rsid w:val="001E2907"/>
    <w:rsid w:val="00223E76"/>
    <w:rsid w:val="00235C60"/>
    <w:rsid w:val="002B7C82"/>
    <w:rsid w:val="003B3706"/>
    <w:rsid w:val="003B3E46"/>
    <w:rsid w:val="00416AC4"/>
    <w:rsid w:val="0052569C"/>
    <w:rsid w:val="00570D37"/>
    <w:rsid w:val="005B6FD3"/>
    <w:rsid w:val="005C7FEF"/>
    <w:rsid w:val="005E316F"/>
    <w:rsid w:val="005F2595"/>
    <w:rsid w:val="006109D1"/>
    <w:rsid w:val="00623AAF"/>
    <w:rsid w:val="006D26F4"/>
    <w:rsid w:val="007C261A"/>
    <w:rsid w:val="008423B9"/>
    <w:rsid w:val="008A5DD9"/>
    <w:rsid w:val="009440DC"/>
    <w:rsid w:val="009B2AA1"/>
    <w:rsid w:val="00A8096A"/>
    <w:rsid w:val="00B50B0D"/>
    <w:rsid w:val="00B54B31"/>
    <w:rsid w:val="00B6471D"/>
    <w:rsid w:val="00BB1F07"/>
    <w:rsid w:val="00C97EAE"/>
    <w:rsid w:val="00CE1C8C"/>
    <w:rsid w:val="00D72FB4"/>
    <w:rsid w:val="00D82653"/>
    <w:rsid w:val="00E312EA"/>
    <w:rsid w:val="00E821C6"/>
    <w:rsid w:val="00ED3D98"/>
    <w:rsid w:val="00EE1AAC"/>
    <w:rsid w:val="00EE70A2"/>
    <w:rsid w:val="00F65A8F"/>
    <w:rsid w:val="00F7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6FD3"/>
    <w:pPr>
      <w:autoSpaceDE w:val="0"/>
      <w:autoSpaceDN w:val="0"/>
      <w:adjustRightInd w:val="0"/>
    </w:pPr>
    <w:rPr>
      <w:rFonts w:ascii="OGMKIJ+TimesNewRoman,Bold" w:hAnsi="OGMKIJ+TimesNewRoman,Bold" w:cs="OGMKIJ+TimesNewRoman,Bold"/>
      <w:color w:val="000000"/>
      <w:sz w:val="24"/>
      <w:szCs w:val="24"/>
      <w:lang w:val="es-ES" w:eastAsia="es-ES"/>
    </w:rPr>
  </w:style>
  <w:style w:type="paragraph" w:styleId="Textoindependiente">
    <w:name w:val="Body Text"/>
    <w:basedOn w:val="Default"/>
    <w:next w:val="Default"/>
    <w:rsid w:val="005B6FD3"/>
    <w:rPr>
      <w:rFonts w:cs="Times New Roman"/>
      <w:color w:val="auto"/>
    </w:rPr>
  </w:style>
  <w:style w:type="paragraph" w:styleId="Textoindependiente2">
    <w:name w:val="Body Text 2"/>
    <w:basedOn w:val="Default"/>
    <w:next w:val="Default"/>
    <w:rsid w:val="005B6FD3"/>
    <w:rPr>
      <w:rFonts w:cs="Times New Roman"/>
      <w:color w:val="auto"/>
    </w:rPr>
  </w:style>
  <w:style w:type="paragraph" w:styleId="Subttulo">
    <w:name w:val="Subtitle"/>
    <w:basedOn w:val="Normal"/>
    <w:link w:val="SubttuloCar"/>
    <w:qFormat/>
    <w:rsid w:val="00F773DD"/>
    <w:rPr>
      <w:rFonts w:ascii="Arial" w:hAnsi="Arial"/>
      <w:b/>
      <w:szCs w:val="20"/>
      <w:lang w:val="es-CR"/>
    </w:rPr>
  </w:style>
  <w:style w:type="character" w:customStyle="1" w:styleId="SubttuloCar">
    <w:name w:val="Subtítulo Car"/>
    <w:basedOn w:val="Fuentedeprrafopredeter"/>
    <w:link w:val="Subttulo"/>
    <w:rsid w:val="00F773DD"/>
    <w:rPr>
      <w:rFonts w:ascii="Arial" w:hAnsi="Arial"/>
      <w:b/>
      <w:sz w:val="24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8423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3B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2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3B9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6FD3"/>
    <w:pPr>
      <w:autoSpaceDE w:val="0"/>
      <w:autoSpaceDN w:val="0"/>
      <w:adjustRightInd w:val="0"/>
    </w:pPr>
    <w:rPr>
      <w:rFonts w:ascii="OGMKIJ+TimesNewRoman,Bold" w:hAnsi="OGMKIJ+TimesNewRoman,Bold" w:cs="OGMKIJ+TimesNewRoman,Bold"/>
      <w:color w:val="000000"/>
      <w:sz w:val="24"/>
      <w:szCs w:val="24"/>
      <w:lang w:val="es-ES" w:eastAsia="es-ES"/>
    </w:rPr>
  </w:style>
  <w:style w:type="paragraph" w:styleId="Textoindependiente">
    <w:name w:val="Body Text"/>
    <w:basedOn w:val="Default"/>
    <w:next w:val="Default"/>
    <w:rsid w:val="005B6FD3"/>
    <w:rPr>
      <w:rFonts w:cs="Times New Roman"/>
      <w:color w:val="auto"/>
    </w:rPr>
  </w:style>
  <w:style w:type="paragraph" w:styleId="Textoindependiente2">
    <w:name w:val="Body Text 2"/>
    <w:basedOn w:val="Default"/>
    <w:next w:val="Default"/>
    <w:rsid w:val="005B6FD3"/>
    <w:rPr>
      <w:rFonts w:cs="Times New Roman"/>
      <w:color w:val="auto"/>
    </w:rPr>
  </w:style>
  <w:style w:type="paragraph" w:styleId="Subttulo">
    <w:name w:val="Subtitle"/>
    <w:basedOn w:val="Normal"/>
    <w:link w:val="SubttuloCar"/>
    <w:qFormat/>
    <w:rsid w:val="00F773DD"/>
    <w:rPr>
      <w:rFonts w:ascii="Arial" w:hAnsi="Arial"/>
      <w:b/>
      <w:szCs w:val="20"/>
      <w:lang w:val="es-CR"/>
    </w:rPr>
  </w:style>
  <w:style w:type="character" w:customStyle="1" w:styleId="SubttuloCar">
    <w:name w:val="Subtítulo Car"/>
    <w:basedOn w:val="Fuentedeprrafopredeter"/>
    <w:link w:val="Subttulo"/>
    <w:rsid w:val="00F773DD"/>
    <w:rPr>
      <w:rFonts w:ascii="Arial" w:hAnsi="Arial"/>
      <w:b/>
      <w:sz w:val="24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8423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3B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2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3B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 SOLICITUD DE VALORACION PARCIAL DE DOCUMENTOS</vt:lpstr>
    </vt:vector>
  </TitlesOfParts>
  <Company>Tribunal Supremo de Elecciones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 SOLICITUD DE VALORACION PARCIAL DE DOCUMENTOS</dc:title>
  <dc:creator>kzamora</dc:creator>
  <cp:lastModifiedBy>Luis Gerardo Villalobos Picado</cp:lastModifiedBy>
  <cp:revision>5</cp:revision>
  <cp:lastPrinted>2010-02-16T18:00:00Z</cp:lastPrinted>
  <dcterms:created xsi:type="dcterms:W3CDTF">2016-11-04T21:40:00Z</dcterms:created>
  <dcterms:modified xsi:type="dcterms:W3CDTF">2016-11-04T21:42:00Z</dcterms:modified>
</cp:coreProperties>
</file>